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78C92" w14:textId="7A08227C" w:rsidR="00E67FD4" w:rsidRPr="00E67FD4" w:rsidRDefault="00D66D08" w:rsidP="00E67F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FD4">
        <w:rPr>
          <w:rFonts w:ascii="Times New Roman" w:hAnsi="Times New Roman" w:cs="Times New Roman"/>
          <w:bCs/>
          <w:sz w:val="24"/>
        </w:rPr>
        <w:t>Anexo</w:t>
      </w:r>
      <w:r w:rsidR="00E67FD4" w:rsidRPr="00E67FD4">
        <w:rPr>
          <w:rFonts w:ascii="Times New Roman" w:hAnsi="Times New Roman" w:cs="Times New Roman"/>
          <w:bCs/>
          <w:sz w:val="24"/>
        </w:rPr>
        <w:t xml:space="preserve"> del artículo “</w:t>
      </w:r>
      <w:r w:rsidR="00E67FD4" w:rsidRPr="00E67FD4">
        <w:rPr>
          <w:rFonts w:ascii="Times New Roman" w:hAnsi="Times New Roman" w:cs="Times New Roman"/>
          <w:bCs/>
          <w:sz w:val="24"/>
          <w:szCs w:val="24"/>
        </w:rPr>
        <w:t>¿Cómo inciden las relaciones intergubernamentales sobre los modelos de gestión de las intendencias? Análisis comparativo de Paysandú y Cerro Largo (2005-2020)</w:t>
      </w:r>
      <w:r w:rsidR="00E67FD4" w:rsidRPr="00E67FD4">
        <w:rPr>
          <w:rFonts w:ascii="Times New Roman" w:hAnsi="Times New Roman" w:cs="Times New Roman"/>
          <w:bCs/>
          <w:sz w:val="24"/>
          <w:szCs w:val="24"/>
        </w:rPr>
        <w:t>”</w:t>
      </w:r>
      <w:r w:rsidR="00E67FD4">
        <w:rPr>
          <w:rFonts w:ascii="Times New Roman" w:hAnsi="Times New Roman" w:cs="Times New Roman"/>
          <w:bCs/>
          <w:sz w:val="24"/>
          <w:szCs w:val="24"/>
        </w:rPr>
        <w:t xml:space="preserve">. Autor: </w:t>
      </w:r>
      <w:r w:rsidR="00E67FD4" w:rsidRPr="00E67FD4">
        <w:rPr>
          <w:rFonts w:ascii="Times New Roman" w:hAnsi="Times New Roman" w:cs="Times New Roman"/>
          <w:bCs/>
          <w:sz w:val="24"/>
          <w:szCs w:val="24"/>
        </w:rPr>
        <w:t>José Raúl Rodrígez Pinho, publicado en la RUCP Vol. 33 (2024)</w:t>
      </w:r>
    </w:p>
    <w:p w14:paraId="77C0662F" w14:textId="26487E9A" w:rsidR="002C5AD5" w:rsidRPr="00D66D08" w:rsidRDefault="002C5AD5" w:rsidP="00D66D08">
      <w:pPr>
        <w:jc w:val="center"/>
        <w:rPr>
          <w:rFonts w:ascii="Times New Roman" w:hAnsi="Times New Roman" w:cs="Times New Roman"/>
          <w:b/>
          <w:sz w:val="24"/>
        </w:rPr>
      </w:pPr>
    </w:p>
    <w:p w14:paraId="2B1D0D84" w14:textId="77777777" w:rsidR="00D66D08" w:rsidRDefault="00D66D08">
      <w:pPr>
        <w:rPr>
          <w:rFonts w:ascii="Times New Roman" w:hAnsi="Times New Roman" w:cs="Times New Roman"/>
          <w:b/>
          <w:sz w:val="24"/>
        </w:rPr>
      </w:pPr>
      <w:r w:rsidRPr="00D66D08">
        <w:rPr>
          <w:rFonts w:ascii="Times New Roman" w:hAnsi="Times New Roman" w:cs="Times New Roman"/>
          <w:b/>
          <w:sz w:val="24"/>
        </w:rPr>
        <w:t>Selección de los casos</w:t>
      </w:r>
    </w:p>
    <w:p w14:paraId="149C3EC6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0DFC9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selección de los departamentos es de acuerdo al método comparativo de la semejanza crucial en los términos definidos en el capítulo 4. </w:t>
      </w:r>
    </w:p>
    <w:p w14:paraId="0D360228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FD6DBA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 variables de control fueron medidas para las 19 intendencias en el período 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>2005-2020</w:t>
      </w:r>
      <w:r>
        <w:rPr>
          <w:rFonts w:ascii="Times New Roman" w:eastAsia="Times New Roman" w:hAnsi="Times New Roman" w:cs="Times New Roman"/>
          <w:sz w:val="24"/>
          <w:szCs w:val="24"/>
        </w:rPr>
        <w:t>. En este sentid</w:t>
      </w:r>
      <w:r w:rsidRPr="002E02AE"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estableció un valor promedio en el período como medida de resumen por departamento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Asimismo, se incluyó como variable de control el nivel de gobernanza departamental según el promedio del </w:t>
      </w:r>
      <w:r w:rsidR="00D45E3B" w:rsidRPr="00D45E3B">
        <w:rPr>
          <w:rFonts w:ascii="Times New Roman" w:eastAsia="Times New Roman" w:hAnsi="Times New Roman" w:cs="Times New Roman"/>
          <w:i/>
          <w:sz w:val="24"/>
          <w:szCs w:val="24"/>
        </w:rPr>
        <w:t>índice de gobernanza departamental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IGD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promedio para el período 20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5-2020 </w:t>
      </w:r>
      <w:r w:rsidRPr="00D45E3B">
        <w:rPr>
          <w:rFonts w:ascii="Times New Roman" w:eastAsia="Times New Roman" w:hAnsi="Times New Roman" w:cs="Times New Roman"/>
          <w:sz w:val="24"/>
          <w:szCs w:val="24"/>
        </w:rPr>
        <w:t xml:space="preserve">(ver 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45E3B">
        <w:rPr>
          <w:rFonts w:ascii="Times New Roman" w:eastAsia="Times New Roman" w:hAnsi="Times New Roman" w:cs="Times New Roman"/>
          <w:sz w:val="24"/>
          <w:szCs w:val="24"/>
        </w:rPr>
        <w:t>uadro i).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67776C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D5801" w14:textId="77777777" w:rsidR="00D66D08" w:rsidRDefault="00D66D08" w:rsidP="00D66D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2425">
        <w:rPr>
          <w:rFonts w:ascii="Times New Roman" w:eastAsia="Times New Roman" w:hAnsi="Times New Roman" w:cs="Times New Roman"/>
          <w:b/>
          <w:sz w:val="20"/>
          <w:szCs w:val="20"/>
        </w:rPr>
        <w:t xml:space="preserve">Cuadro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D92425">
        <w:rPr>
          <w:rFonts w:ascii="Times New Roman" w:eastAsia="Times New Roman" w:hAnsi="Times New Roman" w:cs="Times New Roman"/>
          <w:b/>
          <w:sz w:val="20"/>
          <w:szCs w:val="20"/>
        </w:rPr>
        <w:t>. Valoración de los casos según variables de control</w:t>
      </w:r>
    </w:p>
    <w:tbl>
      <w:tblPr>
        <w:tblW w:w="7756" w:type="dxa"/>
        <w:jc w:val="center"/>
        <w:tblLayout w:type="fixed"/>
        <w:tblLook w:val="0400" w:firstRow="0" w:lastRow="0" w:firstColumn="0" w:lastColumn="0" w:noHBand="0" w:noVBand="1"/>
      </w:tblPr>
      <w:tblGrid>
        <w:gridCol w:w="1396"/>
        <w:gridCol w:w="941"/>
        <w:gridCol w:w="958"/>
        <w:gridCol w:w="957"/>
        <w:gridCol w:w="958"/>
        <w:gridCol w:w="1522"/>
        <w:gridCol w:w="1024"/>
      </w:tblGrid>
      <w:tr w:rsidR="00D66D08" w:rsidRPr="00126D43" w14:paraId="33F4E6E4" w14:textId="77777777" w:rsidTr="00126D43">
        <w:trPr>
          <w:trHeight w:val="150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5FC3F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Departamento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AAED9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 IGD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927C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Dummy IGD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89FA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 IDH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812AF2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Dummy IDH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973F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SDP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35DD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Dummy SDP</w:t>
            </w:r>
          </w:p>
        </w:tc>
      </w:tr>
      <w:tr w:rsidR="00D66D08" w:rsidRPr="00126D43" w14:paraId="63FF5094" w14:textId="77777777" w:rsidTr="00126D43">
        <w:trPr>
          <w:trHeight w:val="103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A7931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Montevideo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827C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0,8653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BA515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E2C0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0,8335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ACFD9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4752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8E166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0C4440F0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316B4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Maldonado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AE88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0,6861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78DE2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B073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0,7923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FD8D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D80B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9F246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7E4598FD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BEF9C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Canelones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404E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0,6382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C9B2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B84E6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0,7747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A3AFB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98C19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46B97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6D14F251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B19CB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Paysandú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E9728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0,5146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CD4C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BC7A9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0,7738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7716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6D33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29BE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496D4027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10D1A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Colonia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08C1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0,5118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A380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5165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0,7926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86528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9FAB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3EBE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6FC681B3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2E617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Rivera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1FCF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0,4771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245E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0954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0,7462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B568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43AE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5C94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431DA3E9" w14:textId="77777777" w:rsidTr="00126D43">
        <w:trPr>
          <w:trHeight w:val="103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AADFC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Tacuarembó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15D0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0,4542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BF15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6C89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0,7523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8FF1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4E4FA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3562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29FF1029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25F7E3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39BE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0,4514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1B27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48FB49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0,7796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DD213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04B5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82FD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144097A5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BC751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Cerro Largo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A40C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0,4181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3B74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C213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0,7428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270B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2B692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F133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7B3E26E2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6620C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Río Negro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C165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0,4111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0DE7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4630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0,7870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8333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2F61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96BF8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4BDE1E21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69694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 José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B639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0,4042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857B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9183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0,7636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2B39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FCDB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3D20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6C771E91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36B6ED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145AE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0,3736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FD0E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2DA28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0,7671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0FDD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80BE9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4DB07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537C479F" w14:textId="77777777" w:rsidTr="00126D43">
        <w:trPr>
          <w:trHeight w:val="103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C8502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Durazno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75999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0,3542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4FB1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1067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0,7626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1885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7BF7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997A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53BC6A8A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D48A0F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Flores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1567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0,2944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FC89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FE24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0,7832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8EDA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1DF0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70F8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4EEB4BFD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50138F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Rocha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B569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0,2674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5286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B0F6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0,7582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B513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7808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7B655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382D499F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F0825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Soriano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78481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0,2542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33DC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14D7F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0,7719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D600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9520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C581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572C2662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E209E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Treinta y Tres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62EA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0,2542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8B40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F57F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0,7575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DABD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72C1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3D41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66D08" w:rsidRPr="00126D43" w14:paraId="79788C38" w14:textId="77777777" w:rsidTr="00126D43">
        <w:trPr>
          <w:trHeight w:val="98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96800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Lavalleja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79F2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0,1882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910B6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70759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0,7702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D158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0EA6F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Predominante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7446B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66D08" w:rsidRPr="00126D43" w14:paraId="2E865110" w14:textId="77777777" w:rsidTr="00126D43">
        <w:trPr>
          <w:trHeight w:val="103"/>
          <w:jc w:val="center"/>
        </w:trPr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827E6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Artigas</w:t>
            </w:r>
          </w:p>
        </w:tc>
        <w:tc>
          <w:tcPr>
            <w:tcW w:w="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F571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0,1694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C80C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4CB9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0,7532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48C9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28A6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Competitivo</w:t>
            </w:r>
          </w:p>
        </w:tc>
        <w:tc>
          <w:tcPr>
            <w:tcW w:w="10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4232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14:paraId="71E092E0" w14:textId="77777777" w:rsidR="00D24561" w:rsidRPr="00B658E9" w:rsidRDefault="00D66D08" w:rsidP="00D245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658E9">
        <w:rPr>
          <w:rFonts w:ascii="Times New Roman" w:eastAsia="Times New Roman" w:hAnsi="Times New Roman" w:cs="Times New Roman"/>
          <w:i/>
          <w:sz w:val="20"/>
          <w:szCs w:val="20"/>
        </w:rPr>
        <w:t>Fuente: elaboración propia.</w:t>
      </w:r>
    </w:p>
    <w:p w14:paraId="4F6F80D4" w14:textId="77777777" w:rsidR="00D24561" w:rsidRPr="0078350A" w:rsidRDefault="00D24561" w:rsidP="00D66D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>El índice de gobernanza departamental (IGD) varía entre 0 y 1, donde 1 significa la máxima presencia de atributos del modelo de gestión de gobernanza local</w:t>
      </w:r>
      <w:r w:rsidR="00193F37">
        <w:rPr>
          <w:rFonts w:ascii="Times New Roman" w:eastAsia="Times New Roman" w:hAnsi="Times New Roman" w:cs="Times New Roman"/>
          <w:i/>
          <w:sz w:val="20"/>
          <w:szCs w:val="20"/>
        </w:rPr>
        <w:t xml:space="preserve"> a nivel de toda la organización intendencia departamental</w:t>
      </w: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. Incluye indicadores en las siguientes dimensiones: i) planificación estratégica; ii) participación ciudadana; iii) articulación público-privada; iv) organización funcional; v) gestión de los recursos humanos; y vi) gestión presupuestal y financiera. </w:t>
      </w:r>
      <w:r w:rsidR="00D66D08" w:rsidRPr="0078350A">
        <w:rPr>
          <w:rFonts w:ascii="Times New Roman" w:eastAsia="Times New Roman" w:hAnsi="Times New Roman" w:cs="Times New Roman"/>
          <w:i/>
          <w:sz w:val="20"/>
          <w:szCs w:val="20"/>
        </w:rPr>
        <w:t>Para la variable Media IGD se considera el promedio de los 19 casos como punto de corte (&gt; 0,</w:t>
      </w: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>4176</w:t>
      </w:r>
      <w:r w:rsidR="00D66D08"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 = 1).</w:t>
      </w: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66D08" w:rsidRPr="0078350A">
        <w:rPr>
          <w:rFonts w:ascii="Times New Roman" w:eastAsia="Times New Roman" w:hAnsi="Times New Roman" w:cs="Times New Roman"/>
          <w:i/>
          <w:sz w:val="20"/>
          <w:szCs w:val="20"/>
        </w:rPr>
        <w:t>El valor de cada departamento corresponde a la media de las tres observaciones realizadas para cada mandato de gobierno</w:t>
      </w: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 entre 2005 y 2020</w:t>
      </w:r>
      <w:r w:rsidR="00D66D08"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>(Fuente: Rodríguez, J., 2024).</w:t>
      </w:r>
    </w:p>
    <w:p w14:paraId="03AE1C9C" w14:textId="77777777" w:rsidR="00D24561" w:rsidRPr="0078350A" w:rsidRDefault="00D66D08" w:rsidP="00D66D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Para la variable Media IDH el punto de corte es el valor promedio de los departamentos del interior (&gt; 0,7683). El valor de cada departamento es el promedio del índice para el período 2007-2018). </w:t>
      </w:r>
      <w:r w:rsidR="00D24561" w:rsidRPr="0078350A">
        <w:rPr>
          <w:rFonts w:ascii="Times New Roman" w:eastAsia="Times New Roman" w:hAnsi="Times New Roman" w:cs="Times New Roman"/>
          <w:i/>
          <w:sz w:val="20"/>
          <w:szCs w:val="20"/>
        </w:rPr>
        <w:t>Fuente: O</w:t>
      </w:r>
      <w:r w:rsidR="003B3684">
        <w:rPr>
          <w:rFonts w:ascii="Times New Roman" w:eastAsia="Times New Roman" w:hAnsi="Times New Roman" w:cs="Times New Roman"/>
          <w:i/>
          <w:sz w:val="20"/>
          <w:szCs w:val="20"/>
        </w:rPr>
        <w:t xml:space="preserve">bservatorio </w:t>
      </w:r>
      <w:r w:rsidR="00D24561" w:rsidRPr="0078350A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="003B3684">
        <w:rPr>
          <w:rFonts w:ascii="Times New Roman" w:eastAsia="Times New Roman" w:hAnsi="Times New Roman" w:cs="Times New Roman"/>
          <w:i/>
          <w:sz w:val="20"/>
          <w:szCs w:val="20"/>
        </w:rPr>
        <w:t xml:space="preserve">erritorio </w:t>
      </w:r>
      <w:r w:rsidR="00D24561" w:rsidRPr="0078350A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="003B3684">
        <w:rPr>
          <w:rFonts w:ascii="Times New Roman" w:eastAsia="Times New Roman" w:hAnsi="Times New Roman" w:cs="Times New Roman"/>
          <w:i/>
          <w:sz w:val="20"/>
          <w:szCs w:val="20"/>
        </w:rPr>
        <w:t>ruguay (OTU)</w:t>
      </w:r>
      <w:r w:rsidR="00D24561" w:rsidRPr="0078350A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</w:p>
    <w:p w14:paraId="498C4D1C" w14:textId="77777777" w:rsidR="00D66D08" w:rsidRPr="0078350A" w:rsidRDefault="00D66D08" w:rsidP="00D66D0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 xml:space="preserve">En el caso de la variable sistema de partido departamental (SDP) se considera Competitivo = 1. Se consideran predominantes los departamentos que no registran alternancia desde 2000 en adelante. </w:t>
      </w:r>
    </w:p>
    <w:p w14:paraId="26770D1B" w14:textId="77777777" w:rsidR="00D66D08" w:rsidRPr="0078350A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403E87CB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la combinación entre las tres variables de control y los dos posibles valores que pueden </w:t>
      </w:r>
      <w:r w:rsidRPr="00D92425">
        <w:rPr>
          <w:rFonts w:ascii="Times New Roman" w:eastAsia="Times New Roman" w:hAnsi="Times New Roman" w:cs="Times New Roman"/>
          <w:sz w:val="24"/>
          <w:szCs w:val="24"/>
        </w:rPr>
        <w:t xml:space="preserve">asumir se obtienen ocho escenarios posibles (ver 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92425">
        <w:rPr>
          <w:rFonts w:ascii="Times New Roman" w:eastAsia="Times New Roman" w:hAnsi="Times New Roman" w:cs="Times New Roman"/>
          <w:sz w:val="24"/>
          <w:szCs w:val="24"/>
        </w:rPr>
        <w:t xml:space="preserve">uadro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D9242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9EC5F6C" w14:textId="77777777" w:rsidR="00D66D08" w:rsidRDefault="00D66D08" w:rsidP="00D66D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5828F" w14:textId="77777777" w:rsidR="00D66D08" w:rsidRDefault="00D66D08" w:rsidP="00D66D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92425">
        <w:rPr>
          <w:rFonts w:ascii="Times New Roman" w:eastAsia="Times New Roman" w:hAnsi="Times New Roman" w:cs="Times New Roman"/>
          <w:b/>
          <w:sz w:val="20"/>
          <w:szCs w:val="20"/>
        </w:rPr>
        <w:t xml:space="preserve">Cuadro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ii</w:t>
      </w:r>
      <w:r w:rsidRPr="00D92425">
        <w:rPr>
          <w:rFonts w:ascii="Times New Roman" w:eastAsia="Times New Roman" w:hAnsi="Times New Roman" w:cs="Times New Roman"/>
          <w:b/>
          <w:sz w:val="20"/>
          <w:szCs w:val="20"/>
        </w:rPr>
        <w:t>. Escenarios posibles según variables de control</w:t>
      </w:r>
    </w:p>
    <w:tbl>
      <w:tblPr>
        <w:tblW w:w="7513" w:type="dxa"/>
        <w:jc w:val="center"/>
        <w:tblLayout w:type="fixed"/>
        <w:tblLook w:val="0400" w:firstRow="0" w:lastRow="0" w:firstColumn="0" w:lastColumn="0" w:noHBand="0" w:noVBand="1"/>
      </w:tblPr>
      <w:tblGrid>
        <w:gridCol w:w="1297"/>
        <w:gridCol w:w="1470"/>
        <w:gridCol w:w="4098"/>
        <w:gridCol w:w="648"/>
      </w:tblGrid>
      <w:tr w:rsidR="00D66D08" w:rsidRPr="00126D43" w14:paraId="6D5B6579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E770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Escenarios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806A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Combinaciones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50639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Departamentos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C7758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</w:t>
            </w:r>
          </w:p>
        </w:tc>
      </w:tr>
      <w:tr w:rsidR="00D66D08" w:rsidRPr="00126D43" w14:paraId="433E9FDA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0D27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7BEBB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1,1,1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CE40C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Maldonado, Canelones, </w:t>
            </w: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Paysandú</w:t>
            </w: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, Florida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59193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</w:tr>
      <w:tr w:rsidR="00D66D08" w:rsidRPr="00126D43" w14:paraId="70BE976A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733C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B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DB35D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1,1,0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AE1276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Montevideo, Colonia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7150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</w:tr>
      <w:tr w:rsidR="00D66D08" w:rsidRPr="00126D43" w14:paraId="1F305849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C3B0A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D975E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0,1,1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4C5AB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Río Negro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A006C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</w:p>
        </w:tc>
      </w:tr>
      <w:tr w:rsidR="00D66D08" w:rsidRPr="00126D43" w14:paraId="669FF19E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79C26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E170D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0,1,0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71EDF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Flores, Soriano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81FF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</w:tr>
      <w:tr w:rsidR="00D66D08" w:rsidRPr="00126D43" w14:paraId="7A518123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529E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24F475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1,0,1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C3042B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83D364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0</w:t>
            </w:r>
          </w:p>
        </w:tc>
      </w:tr>
      <w:tr w:rsidR="00D66D08" w:rsidRPr="00126D43" w14:paraId="716A940E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4057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F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17EEB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1,0,0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EC00F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Rivera, Tacuarembó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ACC40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</w:p>
        </w:tc>
      </w:tr>
      <w:tr w:rsidR="00D66D08" w:rsidRPr="00126D43" w14:paraId="29B215CD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BED101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G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4C6D7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0,0,1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CF7C7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Salto, Rocha, Treinta y Tres, Artigas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A66AF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</w:tr>
      <w:tr w:rsidR="00D66D08" w:rsidRPr="00126D43" w14:paraId="11F039A4" w14:textId="77777777" w:rsidTr="00126D43">
        <w:trPr>
          <w:trHeight w:val="254"/>
          <w:jc w:val="center"/>
        </w:trPr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B253A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</w:t>
            </w:r>
          </w:p>
        </w:tc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FEE0C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0,0,0</w:t>
            </w:r>
          </w:p>
        </w:tc>
        <w:tc>
          <w:tcPr>
            <w:tcW w:w="4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C233E" w14:textId="77777777" w:rsidR="00D66D08" w:rsidRPr="00126D43" w:rsidRDefault="00D66D08" w:rsidP="00126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Cerro Largo</w:t>
            </w: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, San José, Durazno, Lavalleja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0D60B" w14:textId="77777777" w:rsidR="00D66D08" w:rsidRPr="00126D43" w:rsidRDefault="00D66D08" w:rsidP="00126D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126D4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</w:p>
        </w:tc>
      </w:tr>
    </w:tbl>
    <w:p w14:paraId="47E013A8" w14:textId="77777777" w:rsidR="00D66D08" w:rsidRPr="0078350A" w:rsidRDefault="00D66D08" w:rsidP="00D66D0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8350A">
        <w:rPr>
          <w:rFonts w:ascii="Times New Roman" w:eastAsia="Times New Roman" w:hAnsi="Times New Roman" w:cs="Times New Roman"/>
          <w:i/>
          <w:sz w:val="20"/>
          <w:szCs w:val="20"/>
        </w:rPr>
        <w:t>Fuente: elaboración de propia. Casos seleccionados aparecen en negrita.</w:t>
      </w:r>
    </w:p>
    <w:p w14:paraId="7A5EEE04" w14:textId="77777777" w:rsidR="00D66D08" w:rsidRDefault="00D66D08" w:rsidP="00D66D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E156D" w14:textId="77777777" w:rsidR="00D66D08" w:rsidRDefault="00D66D08" w:rsidP="00D45E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2AE">
        <w:rPr>
          <w:rFonts w:ascii="Times New Roman" w:eastAsia="Times New Roman" w:hAnsi="Times New Roman" w:cs="Times New Roman"/>
          <w:sz w:val="24"/>
          <w:szCs w:val="24"/>
        </w:rPr>
        <w:t xml:space="preserve">Se seleccionan los casos de Paysandú (Alto IGD, Alto IDH, Sistema de partidos competitivo) y Cerro Largo (Bajo IGD, Bajo IDH, Sistema de partidos predominante), ya que </w:t>
      </w:r>
      <w:r w:rsidR="00D45E3B">
        <w:rPr>
          <w:rFonts w:ascii="Times New Roman" w:eastAsia="Times New Roman" w:hAnsi="Times New Roman" w:cs="Times New Roman"/>
          <w:sz w:val="24"/>
          <w:szCs w:val="24"/>
        </w:rPr>
        <w:t>arrojan valores bien diferentes en las variables de control</w:t>
      </w:r>
      <w:r w:rsidRPr="002E02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E8C7BF" w14:textId="77777777" w:rsidR="00D45E3B" w:rsidRDefault="00D45E3B" w:rsidP="00D45E3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6D43B95C" w14:textId="77777777" w:rsidR="00D20FE3" w:rsidRPr="00D20FE3" w:rsidRDefault="00D20FE3" w:rsidP="00D20F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0FE3">
        <w:rPr>
          <w:rFonts w:ascii="Times New Roman" w:eastAsia="Times New Roman" w:hAnsi="Times New Roman" w:cs="Times New Roman"/>
          <w:b/>
          <w:sz w:val="20"/>
          <w:szCs w:val="20"/>
        </w:rPr>
        <w:t>Cuadro 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ii</w:t>
      </w:r>
      <w:r w:rsidRPr="00D20FE3">
        <w:rPr>
          <w:rFonts w:ascii="Times New Roman" w:eastAsia="Times New Roman" w:hAnsi="Times New Roman" w:cs="Times New Roman"/>
          <w:b/>
          <w:sz w:val="20"/>
          <w:szCs w:val="20"/>
        </w:rPr>
        <w:t>. Indicadores de ingresos y bienestar</w:t>
      </w:r>
      <w:r w:rsidR="00193F37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D20FE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93F37" w:rsidRPr="00D20FE3">
        <w:rPr>
          <w:rFonts w:ascii="Times New Roman" w:eastAsia="Times New Roman" w:hAnsi="Times New Roman" w:cs="Times New Roman"/>
          <w:b/>
          <w:sz w:val="20"/>
          <w:szCs w:val="20"/>
        </w:rPr>
        <w:t xml:space="preserve">comparativo Paysandú y Cerro Largo </w:t>
      </w:r>
      <w:r w:rsidRPr="00D20FE3">
        <w:rPr>
          <w:rFonts w:ascii="Times New Roman" w:eastAsia="Times New Roman" w:hAnsi="Times New Roman" w:cs="Times New Roman"/>
          <w:b/>
          <w:sz w:val="20"/>
          <w:szCs w:val="20"/>
        </w:rPr>
        <w:t>(ranking entre paréntesis)</w:t>
      </w:r>
    </w:p>
    <w:tbl>
      <w:tblPr>
        <w:tblW w:w="80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48"/>
        <w:gridCol w:w="1748"/>
        <w:gridCol w:w="1749"/>
      </w:tblGrid>
      <w:tr w:rsidR="00D20FE3" w:rsidRPr="00D20FE3" w14:paraId="63FFA18B" w14:textId="77777777" w:rsidTr="00886CD4">
        <w:trPr>
          <w:jc w:val="center"/>
        </w:trPr>
        <w:tc>
          <w:tcPr>
            <w:tcW w:w="2835" w:type="dxa"/>
          </w:tcPr>
          <w:p w14:paraId="5A2AE97E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14:paraId="3B4C7658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Paysandú</w:t>
            </w:r>
          </w:p>
        </w:tc>
        <w:tc>
          <w:tcPr>
            <w:tcW w:w="1748" w:type="dxa"/>
          </w:tcPr>
          <w:p w14:paraId="7F64D33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Cerro Largo</w:t>
            </w:r>
          </w:p>
        </w:tc>
        <w:tc>
          <w:tcPr>
            <w:tcW w:w="1749" w:type="dxa"/>
          </w:tcPr>
          <w:p w14:paraId="5A07456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Total del país</w:t>
            </w:r>
          </w:p>
        </w:tc>
      </w:tr>
      <w:tr w:rsidR="00D20FE3" w:rsidRPr="00D20FE3" w14:paraId="25CF9371" w14:textId="77777777" w:rsidTr="00886CD4">
        <w:trPr>
          <w:jc w:val="center"/>
        </w:trPr>
        <w:tc>
          <w:tcPr>
            <w:tcW w:w="2835" w:type="dxa"/>
          </w:tcPr>
          <w:p w14:paraId="60E532C0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Índice de Desarrollo Humano (Media 2008-2018)</w:t>
            </w:r>
          </w:p>
        </w:tc>
        <w:tc>
          <w:tcPr>
            <w:tcW w:w="1748" w:type="dxa"/>
          </w:tcPr>
          <w:p w14:paraId="53D8E71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0,7738 (8)</w:t>
            </w:r>
          </w:p>
        </w:tc>
        <w:tc>
          <w:tcPr>
            <w:tcW w:w="1748" w:type="dxa"/>
          </w:tcPr>
          <w:p w14:paraId="4327049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0,7428 (19)</w:t>
            </w:r>
          </w:p>
        </w:tc>
        <w:tc>
          <w:tcPr>
            <w:tcW w:w="1749" w:type="dxa"/>
          </w:tcPr>
          <w:p w14:paraId="4AE7485A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0,7980</w:t>
            </w:r>
          </w:p>
        </w:tc>
      </w:tr>
      <w:tr w:rsidR="00D20FE3" w:rsidRPr="00D20FE3" w14:paraId="70F480AD" w14:textId="77777777" w:rsidTr="00886CD4">
        <w:trPr>
          <w:jc w:val="center"/>
        </w:trPr>
        <w:tc>
          <w:tcPr>
            <w:tcW w:w="2835" w:type="dxa"/>
          </w:tcPr>
          <w:p w14:paraId="27581B5C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Cociente PIB por h. dptal/ PIB por h. nacional (promedio 2008-2014)</w:t>
            </w:r>
          </w:p>
        </w:tc>
        <w:tc>
          <w:tcPr>
            <w:tcW w:w="1748" w:type="dxa"/>
          </w:tcPr>
          <w:p w14:paraId="7A1E72E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0,82 (12)</w:t>
            </w:r>
          </w:p>
        </w:tc>
        <w:tc>
          <w:tcPr>
            <w:tcW w:w="1748" w:type="dxa"/>
          </w:tcPr>
          <w:p w14:paraId="7D2C24D8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0,70 (16)</w:t>
            </w:r>
          </w:p>
        </w:tc>
        <w:tc>
          <w:tcPr>
            <w:tcW w:w="1749" w:type="dxa"/>
          </w:tcPr>
          <w:p w14:paraId="218E739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0FE3" w:rsidRPr="00D20FE3" w14:paraId="4EEC89A3" w14:textId="77777777" w:rsidTr="00886CD4">
        <w:trPr>
          <w:jc w:val="center"/>
        </w:trPr>
        <w:tc>
          <w:tcPr>
            <w:tcW w:w="2835" w:type="dxa"/>
          </w:tcPr>
          <w:p w14:paraId="6EF9687A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Índice de desarrollo regional y especialización productiva (IDERE) (2016) *</w:t>
            </w:r>
          </w:p>
        </w:tc>
        <w:tc>
          <w:tcPr>
            <w:tcW w:w="1748" w:type="dxa"/>
          </w:tcPr>
          <w:p w14:paraId="712A0548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0,517 (11)</w:t>
            </w:r>
          </w:p>
        </w:tc>
        <w:tc>
          <w:tcPr>
            <w:tcW w:w="1748" w:type="dxa"/>
          </w:tcPr>
          <w:p w14:paraId="741989D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0,440 (19)</w:t>
            </w:r>
          </w:p>
        </w:tc>
        <w:tc>
          <w:tcPr>
            <w:tcW w:w="1749" w:type="dxa"/>
          </w:tcPr>
          <w:p w14:paraId="12C9486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0,537</w:t>
            </w:r>
          </w:p>
        </w:tc>
      </w:tr>
      <w:tr w:rsidR="00D20FE3" w:rsidRPr="00D20FE3" w14:paraId="58224315" w14:textId="77777777" w:rsidTr="00886CD4">
        <w:trPr>
          <w:jc w:val="center"/>
        </w:trPr>
        <w:tc>
          <w:tcPr>
            <w:tcW w:w="2835" w:type="dxa"/>
          </w:tcPr>
          <w:p w14:paraId="63691EB6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Cociente Ingreso medio dptal/ ingreso medio nacional (promedio 2006-2019)</w:t>
            </w:r>
          </w:p>
        </w:tc>
        <w:tc>
          <w:tcPr>
            <w:tcW w:w="1748" w:type="dxa"/>
          </w:tcPr>
          <w:p w14:paraId="52CC068E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0,79 (12)</w:t>
            </w:r>
          </w:p>
        </w:tc>
        <w:tc>
          <w:tcPr>
            <w:tcW w:w="1748" w:type="dxa"/>
          </w:tcPr>
          <w:p w14:paraId="782458A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0,65 (19)</w:t>
            </w:r>
          </w:p>
        </w:tc>
        <w:tc>
          <w:tcPr>
            <w:tcW w:w="1749" w:type="dxa"/>
          </w:tcPr>
          <w:p w14:paraId="25696A5D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20FE3" w:rsidRPr="00D20FE3" w14:paraId="6DDBACCB" w14:textId="77777777" w:rsidTr="00886CD4">
        <w:trPr>
          <w:jc w:val="center"/>
        </w:trPr>
        <w:tc>
          <w:tcPr>
            <w:tcW w:w="2835" w:type="dxa"/>
          </w:tcPr>
          <w:p w14:paraId="3574598A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Personas en hogares pobres (promedio 2006-2019)</w:t>
            </w:r>
          </w:p>
        </w:tc>
        <w:tc>
          <w:tcPr>
            <w:tcW w:w="1748" w:type="dxa"/>
          </w:tcPr>
          <w:p w14:paraId="4B9BE5F6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14,6% (11)</w:t>
            </w:r>
          </w:p>
        </w:tc>
        <w:tc>
          <w:tcPr>
            <w:tcW w:w="1748" w:type="dxa"/>
          </w:tcPr>
          <w:p w14:paraId="36D1FE9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19,3% (17)</w:t>
            </w:r>
          </w:p>
        </w:tc>
        <w:tc>
          <w:tcPr>
            <w:tcW w:w="1749" w:type="dxa"/>
          </w:tcPr>
          <w:p w14:paraId="31218442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15,5%</w:t>
            </w:r>
          </w:p>
        </w:tc>
      </w:tr>
      <w:tr w:rsidR="00D20FE3" w:rsidRPr="00D20FE3" w14:paraId="65EBDCF6" w14:textId="77777777" w:rsidTr="00886CD4">
        <w:trPr>
          <w:jc w:val="center"/>
        </w:trPr>
        <w:tc>
          <w:tcPr>
            <w:tcW w:w="2835" w:type="dxa"/>
          </w:tcPr>
          <w:p w14:paraId="1F80D944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Informalidad (promedio 2010-2019)</w:t>
            </w:r>
          </w:p>
        </w:tc>
        <w:tc>
          <w:tcPr>
            <w:tcW w:w="1748" w:type="dxa"/>
          </w:tcPr>
          <w:p w14:paraId="2D1BC060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29% (9)</w:t>
            </w:r>
          </w:p>
        </w:tc>
        <w:tc>
          <w:tcPr>
            <w:tcW w:w="1748" w:type="dxa"/>
          </w:tcPr>
          <w:p w14:paraId="1CAFDEF8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46% (19)</w:t>
            </w:r>
          </w:p>
        </w:tc>
        <w:tc>
          <w:tcPr>
            <w:tcW w:w="1749" w:type="dxa"/>
          </w:tcPr>
          <w:p w14:paraId="22099D7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26%</w:t>
            </w:r>
          </w:p>
        </w:tc>
      </w:tr>
      <w:tr w:rsidR="00D20FE3" w:rsidRPr="00D20FE3" w14:paraId="468D36F2" w14:textId="77777777" w:rsidTr="00886CD4">
        <w:trPr>
          <w:jc w:val="center"/>
        </w:trPr>
        <w:tc>
          <w:tcPr>
            <w:tcW w:w="2835" w:type="dxa"/>
          </w:tcPr>
          <w:p w14:paraId="2488C2AE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Población entre 25 y 65 con estudios terciarios (2019)</w:t>
            </w:r>
          </w:p>
        </w:tc>
        <w:tc>
          <w:tcPr>
            <w:tcW w:w="1748" w:type="dxa"/>
          </w:tcPr>
          <w:p w14:paraId="2DA1439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14,7% (8)</w:t>
            </w:r>
          </w:p>
        </w:tc>
        <w:tc>
          <w:tcPr>
            <w:tcW w:w="1748" w:type="dxa"/>
          </w:tcPr>
          <w:p w14:paraId="1EAB8C91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11,0% (18)</w:t>
            </w:r>
          </w:p>
        </w:tc>
        <w:tc>
          <w:tcPr>
            <w:tcW w:w="1749" w:type="dxa"/>
          </w:tcPr>
          <w:p w14:paraId="363C68C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23,8%</w:t>
            </w:r>
          </w:p>
        </w:tc>
      </w:tr>
      <w:tr w:rsidR="00D20FE3" w:rsidRPr="00D20FE3" w14:paraId="325FF53A" w14:textId="77777777" w:rsidTr="00886CD4">
        <w:trPr>
          <w:jc w:val="center"/>
        </w:trPr>
        <w:tc>
          <w:tcPr>
            <w:tcW w:w="2835" w:type="dxa"/>
          </w:tcPr>
          <w:p w14:paraId="3281BDC7" w14:textId="77777777" w:rsidR="00D20FE3" w:rsidRPr="00D20FE3" w:rsidRDefault="00D20FE3" w:rsidP="00886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Esperanza de vida al nacer (2019)</w:t>
            </w:r>
          </w:p>
        </w:tc>
        <w:tc>
          <w:tcPr>
            <w:tcW w:w="1748" w:type="dxa"/>
          </w:tcPr>
          <w:p w14:paraId="365A494B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78,2 (4)</w:t>
            </w:r>
          </w:p>
        </w:tc>
        <w:tc>
          <w:tcPr>
            <w:tcW w:w="1748" w:type="dxa"/>
          </w:tcPr>
          <w:p w14:paraId="40BA9F75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76,7 (18)</w:t>
            </w:r>
          </w:p>
        </w:tc>
        <w:tc>
          <w:tcPr>
            <w:tcW w:w="1749" w:type="dxa"/>
          </w:tcPr>
          <w:p w14:paraId="528423D8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77,9</w:t>
            </w:r>
          </w:p>
        </w:tc>
      </w:tr>
    </w:tbl>
    <w:p w14:paraId="264F9128" w14:textId="77777777" w:rsidR="00D20FE3" w:rsidRPr="00D20FE3" w:rsidRDefault="00D20FE3" w:rsidP="00D20F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20FE3">
        <w:rPr>
          <w:rFonts w:ascii="Times New Roman" w:eastAsia="Times New Roman" w:hAnsi="Times New Roman" w:cs="Times New Roman"/>
          <w:i/>
          <w:sz w:val="20"/>
          <w:szCs w:val="20"/>
        </w:rPr>
        <w:t xml:space="preserve">Fuente: elaboración propia en base a datos de OTU. * Los valores del IDERE son extraídos de Rodríguez Miranda </w:t>
      </w:r>
      <w:r w:rsidR="003B3684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D20FE3">
        <w:rPr>
          <w:rFonts w:ascii="Times New Roman" w:eastAsia="Times New Roman" w:hAnsi="Times New Roman" w:cs="Times New Roman"/>
          <w:i/>
          <w:sz w:val="20"/>
          <w:szCs w:val="20"/>
        </w:rPr>
        <w:t xml:space="preserve"> Vial (2018).</w:t>
      </w:r>
    </w:p>
    <w:p w14:paraId="55807243" w14:textId="77777777" w:rsidR="00D20FE3" w:rsidRPr="00D20FE3" w:rsidRDefault="00D20FE3" w:rsidP="007835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AC602A" w14:textId="77777777" w:rsidR="00D20FE3" w:rsidRDefault="00D20FE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5EF1ED58" w14:textId="77777777" w:rsidR="00D20FE3" w:rsidRPr="00D20FE3" w:rsidRDefault="00D20FE3" w:rsidP="00D20FE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0FE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Cuadro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 w:rsidRPr="00D20FE3">
        <w:rPr>
          <w:rFonts w:ascii="Times New Roman" w:eastAsia="Times New Roman" w:hAnsi="Times New Roman" w:cs="Times New Roman"/>
          <w:b/>
          <w:sz w:val="20"/>
          <w:szCs w:val="20"/>
        </w:rPr>
        <w:t>v. Indicadores de sistema de partido, comparativo Paysandú y Cerro Largo (2000-2025)</w:t>
      </w:r>
    </w:p>
    <w:tbl>
      <w:tblPr>
        <w:tblW w:w="862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44"/>
        <w:gridCol w:w="924"/>
        <w:gridCol w:w="1210"/>
        <w:gridCol w:w="1359"/>
        <w:gridCol w:w="1036"/>
        <w:gridCol w:w="1194"/>
      </w:tblGrid>
      <w:tr w:rsidR="00D20FE3" w:rsidRPr="00D20FE3" w14:paraId="566CEE23" w14:textId="77777777" w:rsidTr="00886CD4">
        <w:tc>
          <w:tcPr>
            <w:tcW w:w="1560" w:type="dxa"/>
          </w:tcPr>
          <w:p w14:paraId="022B2AC1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Departamentos</w:t>
            </w:r>
          </w:p>
        </w:tc>
        <w:tc>
          <w:tcPr>
            <w:tcW w:w="3478" w:type="dxa"/>
            <w:gridSpan w:val="3"/>
          </w:tcPr>
          <w:p w14:paraId="4D13E329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Paysandú</w:t>
            </w:r>
          </w:p>
        </w:tc>
        <w:tc>
          <w:tcPr>
            <w:tcW w:w="3589" w:type="dxa"/>
            <w:gridSpan w:val="3"/>
          </w:tcPr>
          <w:p w14:paraId="0EFE8CD1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Cerro Largo</w:t>
            </w:r>
          </w:p>
        </w:tc>
      </w:tr>
      <w:tr w:rsidR="00D20FE3" w:rsidRPr="00D20FE3" w14:paraId="2A3307D6" w14:textId="77777777" w:rsidTr="00886CD4">
        <w:tc>
          <w:tcPr>
            <w:tcW w:w="1560" w:type="dxa"/>
          </w:tcPr>
          <w:p w14:paraId="2BF8A81B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Mandato</w:t>
            </w:r>
          </w:p>
        </w:tc>
        <w:tc>
          <w:tcPr>
            <w:tcW w:w="1344" w:type="dxa"/>
          </w:tcPr>
          <w:p w14:paraId="7D55E327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Intendente (Partido)</w:t>
            </w:r>
          </w:p>
        </w:tc>
        <w:tc>
          <w:tcPr>
            <w:tcW w:w="924" w:type="dxa"/>
          </w:tcPr>
          <w:p w14:paraId="62F85D15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Ediles en la JD</w:t>
            </w:r>
          </w:p>
        </w:tc>
        <w:tc>
          <w:tcPr>
            <w:tcW w:w="1210" w:type="dxa"/>
          </w:tcPr>
          <w:p w14:paraId="6D17C984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Contingente electoral del intendente (%)</w:t>
            </w:r>
          </w:p>
        </w:tc>
        <w:tc>
          <w:tcPr>
            <w:tcW w:w="1359" w:type="dxa"/>
          </w:tcPr>
          <w:p w14:paraId="449AB374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Intendente (Partido)</w:t>
            </w:r>
          </w:p>
        </w:tc>
        <w:tc>
          <w:tcPr>
            <w:tcW w:w="1036" w:type="dxa"/>
          </w:tcPr>
          <w:p w14:paraId="7DE3558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Ediles en la JD</w:t>
            </w:r>
          </w:p>
        </w:tc>
        <w:tc>
          <w:tcPr>
            <w:tcW w:w="1194" w:type="dxa"/>
          </w:tcPr>
          <w:p w14:paraId="155648C9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Contingente electoral del intendente (%)</w:t>
            </w:r>
          </w:p>
        </w:tc>
      </w:tr>
      <w:tr w:rsidR="00D20FE3" w:rsidRPr="00D20FE3" w14:paraId="56168497" w14:textId="77777777" w:rsidTr="00886CD4">
        <w:tc>
          <w:tcPr>
            <w:tcW w:w="1560" w:type="dxa"/>
          </w:tcPr>
          <w:p w14:paraId="02C054CB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2000-2005</w:t>
            </w:r>
          </w:p>
        </w:tc>
        <w:tc>
          <w:tcPr>
            <w:tcW w:w="1344" w:type="dxa"/>
          </w:tcPr>
          <w:p w14:paraId="27819E21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Lamas (PN)</w:t>
            </w:r>
          </w:p>
        </w:tc>
        <w:tc>
          <w:tcPr>
            <w:tcW w:w="924" w:type="dxa"/>
          </w:tcPr>
          <w:p w14:paraId="329C1C2D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0" w:type="dxa"/>
          </w:tcPr>
          <w:p w14:paraId="29F1C011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59" w:type="dxa"/>
          </w:tcPr>
          <w:p w14:paraId="3A621E39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Barreiro (PN)</w:t>
            </w:r>
          </w:p>
        </w:tc>
        <w:tc>
          <w:tcPr>
            <w:tcW w:w="1036" w:type="dxa"/>
          </w:tcPr>
          <w:p w14:paraId="612E469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4" w:type="dxa"/>
          </w:tcPr>
          <w:p w14:paraId="4756556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20FE3" w:rsidRPr="00D20FE3" w14:paraId="69822C4D" w14:textId="77777777" w:rsidTr="00886CD4">
        <w:tc>
          <w:tcPr>
            <w:tcW w:w="1560" w:type="dxa"/>
          </w:tcPr>
          <w:p w14:paraId="38E97597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2005-2010</w:t>
            </w:r>
          </w:p>
        </w:tc>
        <w:tc>
          <w:tcPr>
            <w:tcW w:w="1344" w:type="dxa"/>
          </w:tcPr>
          <w:p w14:paraId="6F50E86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Pintos (FA)</w:t>
            </w:r>
          </w:p>
        </w:tc>
        <w:tc>
          <w:tcPr>
            <w:tcW w:w="924" w:type="dxa"/>
          </w:tcPr>
          <w:p w14:paraId="0DF1EE9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0" w:type="dxa"/>
          </w:tcPr>
          <w:p w14:paraId="155A47C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59" w:type="dxa"/>
          </w:tcPr>
          <w:p w14:paraId="438191D6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Barreiro (PN)</w:t>
            </w:r>
          </w:p>
        </w:tc>
        <w:tc>
          <w:tcPr>
            <w:tcW w:w="1036" w:type="dxa"/>
          </w:tcPr>
          <w:p w14:paraId="5CC49D13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94" w:type="dxa"/>
          </w:tcPr>
          <w:p w14:paraId="7DCAD60A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20FE3" w:rsidRPr="00D20FE3" w14:paraId="1CABD83E" w14:textId="77777777" w:rsidTr="00886CD4">
        <w:tc>
          <w:tcPr>
            <w:tcW w:w="1560" w:type="dxa"/>
          </w:tcPr>
          <w:p w14:paraId="41EA6AC0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2010-2015</w:t>
            </w:r>
          </w:p>
        </w:tc>
        <w:tc>
          <w:tcPr>
            <w:tcW w:w="1344" w:type="dxa"/>
          </w:tcPr>
          <w:p w14:paraId="590E2D5A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Bentos (PN)</w:t>
            </w:r>
          </w:p>
        </w:tc>
        <w:tc>
          <w:tcPr>
            <w:tcW w:w="924" w:type="dxa"/>
          </w:tcPr>
          <w:p w14:paraId="0FEEBB3A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0" w:type="dxa"/>
          </w:tcPr>
          <w:p w14:paraId="54915844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59" w:type="dxa"/>
          </w:tcPr>
          <w:p w14:paraId="66F40B62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Botana (PN)</w:t>
            </w:r>
          </w:p>
        </w:tc>
        <w:tc>
          <w:tcPr>
            <w:tcW w:w="1036" w:type="dxa"/>
          </w:tcPr>
          <w:p w14:paraId="3B6590E8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4" w:type="dxa"/>
          </w:tcPr>
          <w:p w14:paraId="4274FA1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D20FE3" w:rsidRPr="00D20FE3" w14:paraId="318DE4E2" w14:textId="77777777" w:rsidTr="00886CD4">
        <w:tc>
          <w:tcPr>
            <w:tcW w:w="1560" w:type="dxa"/>
          </w:tcPr>
          <w:p w14:paraId="079394B9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2015-2020</w:t>
            </w:r>
          </w:p>
        </w:tc>
        <w:tc>
          <w:tcPr>
            <w:tcW w:w="1344" w:type="dxa"/>
          </w:tcPr>
          <w:p w14:paraId="43BD3AA6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Caraballo (FA)</w:t>
            </w:r>
          </w:p>
        </w:tc>
        <w:tc>
          <w:tcPr>
            <w:tcW w:w="924" w:type="dxa"/>
          </w:tcPr>
          <w:p w14:paraId="4D7FCA0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0" w:type="dxa"/>
          </w:tcPr>
          <w:p w14:paraId="3A76FCBC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59" w:type="dxa"/>
          </w:tcPr>
          <w:p w14:paraId="01CA91FD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Botana (PN)</w:t>
            </w:r>
          </w:p>
        </w:tc>
        <w:tc>
          <w:tcPr>
            <w:tcW w:w="1036" w:type="dxa"/>
          </w:tcPr>
          <w:p w14:paraId="534F5AA5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94" w:type="dxa"/>
          </w:tcPr>
          <w:p w14:paraId="26554D94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D20FE3" w:rsidRPr="00D20FE3" w14:paraId="2D7ACCB6" w14:textId="77777777" w:rsidTr="00886CD4">
        <w:tc>
          <w:tcPr>
            <w:tcW w:w="1560" w:type="dxa"/>
          </w:tcPr>
          <w:p w14:paraId="2B927BD5" w14:textId="77777777" w:rsidR="00D20FE3" w:rsidRPr="00D20FE3" w:rsidRDefault="00D20FE3" w:rsidP="00886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2020-2025</w:t>
            </w:r>
          </w:p>
        </w:tc>
        <w:tc>
          <w:tcPr>
            <w:tcW w:w="1344" w:type="dxa"/>
          </w:tcPr>
          <w:p w14:paraId="2DA56A07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Olivera (PN)</w:t>
            </w:r>
          </w:p>
        </w:tc>
        <w:tc>
          <w:tcPr>
            <w:tcW w:w="924" w:type="dxa"/>
          </w:tcPr>
          <w:p w14:paraId="3DE16B9B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10" w:type="dxa"/>
          </w:tcPr>
          <w:p w14:paraId="0BE9E3B7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59" w:type="dxa"/>
          </w:tcPr>
          <w:p w14:paraId="26D1A51F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Yurramendi (PN)</w:t>
            </w:r>
          </w:p>
        </w:tc>
        <w:tc>
          <w:tcPr>
            <w:tcW w:w="1036" w:type="dxa"/>
          </w:tcPr>
          <w:p w14:paraId="53B84E3B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94" w:type="dxa"/>
          </w:tcPr>
          <w:p w14:paraId="609E2192" w14:textId="77777777" w:rsidR="00D20FE3" w:rsidRPr="00D20FE3" w:rsidRDefault="00D20FE3" w:rsidP="008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0FE3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5B0C2075" w14:textId="77777777" w:rsidR="00D20FE3" w:rsidRPr="00D20FE3" w:rsidRDefault="00D20FE3" w:rsidP="00D20FE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20FE3">
        <w:rPr>
          <w:rFonts w:ascii="Times New Roman" w:eastAsia="Times New Roman" w:hAnsi="Times New Roman" w:cs="Times New Roman"/>
          <w:i/>
          <w:sz w:val="20"/>
          <w:szCs w:val="20"/>
        </w:rPr>
        <w:t>Fuente: los datos de Paysandú son extraídos de Nieto y Sánchez (2021). Los datos de Cerro Largo son extraídos de Álvarez et al</w:t>
      </w:r>
      <w:r w:rsidR="003B3684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D20FE3">
        <w:rPr>
          <w:rFonts w:ascii="Times New Roman" w:eastAsia="Times New Roman" w:hAnsi="Times New Roman" w:cs="Times New Roman"/>
          <w:i/>
          <w:sz w:val="20"/>
          <w:szCs w:val="20"/>
        </w:rPr>
        <w:t xml:space="preserve"> (2021).</w:t>
      </w:r>
    </w:p>
    <w:p w14:paraId="7B460723" w14:textId="77777777" w:rsidR="00986064" w:rsidRPr="00D20FE3" w:rsidRDefault="00986064" w:rsidP="007835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0F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986064" w:rsidRPr="00D20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08"/>
    <w:rsid w:val="00000580"/>
    <w:rsid w:val="00126D43"/>
    <w:rsid w:val="00193F37"/>
    <w:rsid w:val="002C5AD5"/>
    <w:rsid w:val="003B3684"/>
    <w:rsid w:val="005F2DE0"/>
    <w:rsid w:val="006305F6"/>
    <w:rsid w:val="007832E9"/>
    <w:rsid w:val="0078350A"/>
    <w:rsid w:val="0079075F"/>
    <w:rsid w:val="00986064"/>
    <w:rsid w:val="00AF46AC"/>
    <w:rsid w:val="00B658E9"/>
    <w:rsid w:val="00D20FE3"/>
    <w:rsid w:val="00D24561"/>
    <w:rsid w:val="00D27C45"/>
    <w:rsid w:val="00D45E3B"/>
    <w:rsid w:val="00D66D08"/>
    <w:rsid w:val="00E67FD4"/>
    <w:rsid w:val="00FB3999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C1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2024-06-14T15:11:00Z</dcterms:created>
  <dcterms:modified xsi:type="dcterms:W3CDTF">2024-12-02T16:53:00Z</dcterms:modified>
  <cp:category/>
</cp:coreProperties>
</file>